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0ADB843E"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2C24C0">
        <w:rPr>
          <w:sz w:val="52"/>
          <w:szCs w:val="52"/>
        </w:rPr>
        <w:t>6</w:t>
      </w:r>
      <w:r>
        <w:rPr>
          <w:sz w:val="52"/>
          <w:szCs w:val="52"/>
        </w:rPr>
        <w:t>-202</w:t>
      </w:r>
      <w:r w:rsidR="002C24C0">
        <w:rPr>
          <w:sz w:val="52"/>
          <w:szCs w:val="52"/>
        </w:rPr>
        <w:t>8</w:t>
      </w:r>
      <w:r>
        <w:rPr>
          <w:sz w:val="52"/>
          <w:szCs w:val="52"/>
        </w:rPr>
        <w:t xml:space="preserve"> </w:t>
      </w:r>
    </w:p>
    <w:p w14:paraId="5849CAA6" w14:textId="406ADDEE" w:rsidR="0050356C" w:rsidRDefault="0050356C" w:rsidP="0050356C">
      <w:pPr>
        <w:pStyle w:val="TitoloDocumento"/>
        <w:ind w:right="566"/>
        <w:rPr>
          <w:sz w:val="52"/>
          <w:szCs w:val="52"/>
        </w:rPr>
      </w:pPr>
      <w:r>
        <w:rPr>
          <w:sz w:val="52"/>
          <w:szCs w:val="52"/>
        </w:rPr>
        <w:t xml:space="preserve">CHECK </w:t>
      </w:r>
      <w:proofErr w:type="gramStart"/>
      <w:r>
        <w:rPr>
          <w:sz w:val="52"/>
          <w:szCs w:val="52"/>
        </w:rPr>
        <w:t>LIST  -</w:t>
      </w:r>
      <w:proofErr w:type="gramEnd"/>
      <w:r>
        <w:rPr>
          <w:sz w:val="52"/>
          <w:szCs w:val="52"/>
        </w:rPr>
        <w:t xml:space="preserve"> </w:t>
      </w:r>
      <w:r w:rsidRPr="00AB5522">
        <w:rPr>
          <w:sz w:val="60"/>
          <w:szCs w:val="60"/>
        </w:rPr>
        <w:t>nota integrativa</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1E08269F" w:rsidR="00832D7E" w:rsidRPr="00B96B24" w:rsidRDefault="009D79C2" w:rsidP="00832D7E">
                            <w:pPr>
                              <w:pStyle w:val="TipoDocumento"/>
                              <w:jc w:val="right"/>
                            </w:pPr>
                            <w:r>
                              <w:t>20 gennaio 2026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1E08269F" w:rsidR="00832D7E" w:rsidRPr="00B96B24" w:rsidRDefault="009D79C2" w:rsidP="00832D7E">
                      <w:pPr>
                        <w:pStyle w:val="TipoDocumento"/>
                        <w:jc w:val="right"/>
                      </w:pPr>
                      <w:r>
                        <w:t>20 gennaio 2026</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D11DF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44"/>
      </w:tblGrid>
      <w:tr w:rsidR="00860593" w:rsidRPr="000151AA" w14:paraId="2572AF74" w14:textId="77777777" w:rsidTr="00C0415B">
        <w:trPr>
          <w:trHeight w:hRule="exact" w:val="556"/>
        </w:trPr>
        <w:tc>
          <w:tcPr>
            <w:tcW w:w="5644"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C0415B">
        <w:trPr>
          <w:trHeight w:hRule="exact" w:val="469"/>
        </w:trPr>
        <w:tc>
          <w:tcPr>
            <w:tcW w:w="5644" w:type="dxa"/>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C0415B">
        <w:trPr>
          <w:trHeight w:hRule="exact" w:val="469"/>
        </w:trPr>
        <w:tc>
          <w:tcPr>
            <w:tcW w:w="5644" w:type="dxa"/>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C0415B">
        <w:trPr>
          <w:trHeight w:hRule="exact" w:val="469"/>
        </w:trPr>
        <w:tc>
          <w:tcPr>
            <w:tcW w:w="5644" w:type="dxa"/>
            <w:vAlign w:val="center"/>
          </w:tcPr>
          <w:p w14:paraId="016B3E26" w14:textId="0E591ED0"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 xml:space="preserve">Ricercatrice </w:t>
            </w:r>
            <w:r w:rsidR="00C0415B">
              <w:rPr>
                <w:rFonts w:ascii="Calibri" w:eastAsia="Calibri" w:hAnsi="Calibri"/>
                <w:i/>
                <w:iCs/>
                <w:szCs w:val="22"/>
              </w:rPr>
              <w:t>FNC</w:t>
            </w:r>
          </w:p>
        </w:tc>
      </w:tr>
    </w:tbl>
    <w:p w14:paraId="4001C845" w14:textId="24A13435" w:rsidR="00F8628F" w:rsidRDefault="00F8628F" w:rsidP="004C5239">
      <w:pPr>
        <w:pBdr>
          <w:top w:val="single" w:sz="36" w:space="12" w:color="C00000"/>
        </w:pBdr>
        <w:rPr>
          <w:b/>
          <w:bCs/>
          <w:color w:val="C00000"/>
          <w:sz w:val="32"/>
          <w:szCs w:val="28"/>
        </w:rPr>
        <w:sectPr w:rsidR="00F8628F" w:rsidSect="00D11DF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ook w:val="04A0" w:firstRow="1" w:lastRow="0" w:firstColumn="1" w:lastColumn="0" w:noHBand="0" w:noVBand="1"/>
      </w:tblPr>
      <w:tblGrid>
        <w:gridCol w:w="5529"/>
        <w:gridCol w:w="1134"/>
        <w:gridCol w:w="1276"/>
        <w:gridCol w:w="1588"/>
      </w:tblGrid>
      <w:tr w:rsidR="0050356C" w:rsidRPr="00422513" w14:paraId="70846D87" w14:textId="77777777" w:rsidTr="0050356C">
        <w:trPr>
          <w:trHeight w:hRule="exact" w:val="397"/>
        </w:trPr>
        <w:tc>
          <w:tcPr>
            <w:tcW w:w="5529" w:type="dxa"/>
            <w:shd w:val="clear" w:color="auto" w:fill="C00000"/>
            <w:vAlign w:val="center"/>
          </w:tcPr>
          <w:p w14:paraId="52B5196E"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lastRenderedPageBreak/>
              <w:t>Descrizione</w:t>
            </w:r>
          </w:p>
        </w:tc>
        <w:tc>
          <w:tcPr>
            <w:tcW w:w="1134" w:type="dxa"/>
            <w:shd w:val="clear" w:color="auto" w:fill="C00000"/>
            <w:vAlign w:val="center"/>
          </w:tcPr>
          <w:p w14:paraId="089D83E8"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Si</w:t>
            </w:r>
          </w:p>
        </w:tc>
        <w:tc>
          <w:tcPr>
            <w:tcW w:w="1276" w:type="dxa"/>
            <w:shd w:val="clear" w:color="auto" w:fill="C00000"/>
            <w:vAlign w:val="center"/>
          </w:tcPr>
          <w:p w14:paraId="1DDA00D3"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No</w:t>
            </w:r>
          </w:p>
        </w:tc>
        <w:tc>
          <w:tcPr>
            <w:tcW w:w="1588" w:type="dxa"/>
            <w:shd w:val="clear" w:color="auto" w:fill="C00000"/>
            <w:vAlign w:val="center"/>
          </w:tcPr>
          <w:p w14:paraId="4F5E5234"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Commenti</w:t>
            </w:r>
          </w:p>
        </w:tc>
      </w:tr>
      <w:tr w:rsidR="0050356C" w:rsidRPr="00290A6B" w14:paraId="00DC7310" w14:textId="77777777" w:rsidTr="0050356C">
        <w:tc>
          <w:tcPr>
            <w:tcW w:w="5529" w:type="dxa"/>
          </w:tcPr>
          <w:p w14:paraId="236ACFAD" w14:textId="6E15E8DD" w:rsidR="0050356C" w:rsidRPr="00562F69" w:rsidRDefault="0050356C" w:rsidP="002D2A71">
            <w:pPr>
              <w:spacing w:before="120" w:after="120" w:line="240" w:lineRule="auto"/>
              <w:rPr>
                <w:rFonts w:eastAsia="Times New Roman" w:cstheme="minorHAnsi"/>
                <w:color w:val="auto"/>
                <w:lang w:eastAsia="it-IT"/>
              </w:rPr>
            </w:pPr>
            <w:r w:rsidRPr="00422513">
              <w:rPr>
                <w:rFonts w:eastAsia="Times New Roman" w:cstheme="minorHAnsi"/>
                <w:sz w:val="20"/>
                <w:szCs w:val="20"/>
                <w:lang w:eastAsia="it-IT"/>
              </w:rPr>
              <w:t>L</w:t>
            </w:r>
            <w:r w:rsidRPr="00562F69">
              <w:rPr>
                <w:rFonts w:eastAsia="Times New Roman" w:cstheme="minorHAnsi"/>
                <w:color w:val="auto"/>
                <w:sz w:val="20"/>
                <w:szCs w:val="20"/>
                <w:lang w:eastAsia="it-IT"/>
              </w:rPr>
              <w:t xml:space="preserve">’Organo di revisione ha verificato che la nota integrativa allegata al bilancio di previsione </w:t>
            </w:r>
            <w:r w:rsidRPr="00562F69">
              <w:rPr>
                <w:rFonts w:eastAsia="Times New Roman" w:cstheme="minorHAnsi"/>
                <w:b/>
                <w:bCs/>
                <w:color w:val="auto"/>
                <w:sz w:val="20"/>
                <w:szCs w:val="20"/>
                <w:lang w:eastAsia="it-IT"/>
              </w:rPr>
              <w:t>riporta/non riporta</w:t>
            </w:r>
            <w:r w:rsidRPr="00562F69">
              <w:rPr>
                <w:rFonts w:eastAsia="Times New Roman" w:cstheme="minorHAnsi"/>
                <w:color w:val="auto"/>
                <w:sz w:val="20"/>
                <w:szCs w:val="20"/>
                <w:lang w:eastAsia="it-IT"/>
              </w:rPr>
              <w:t xml:space="preserve"> le informazioni previste dal</w:t>
            </w:r>
            <w:r w:rsidR="00112A54" w:rsidRPr="00562F69">
              <w:rPr>
                <w:rFonts w:eastAsia="Times New Roman" w:cstheme="minorHAnsi"/>
                <w:color w:val="auto"/>
                <w:sz w:val="20"/>
                <w:szCs w:val="20"/>
                <w:lang w:eastAsia="it-IT"/>
              </w:rPr>
              <w:t>l’art.11 co.5</w:t>
            </w:r>
            <w:r w:rsidRPr="00562F69">
              <w:rPr>
                <w:rFonts w:eastAsia="Times New Roman" w:cstheme="minorHAnsi"/>
                <w:color w:val="auto"/>
                <w:sz w:val="20"/>
                <w:szCs w:val="20"/>
                <w:lang w:eastAsia="it-IT"/>
              </w:rPr>
              <w:t xml:space="preserve"> del D.lgs. 23/6/2011 n.118 e dal punto 9.11.1 del principio </w:t>
            </w:r>
            <w:proofErr w:type="spellStart"/>
            <w:r w:rsidR="00112A54" w:rsidRPr="00562F69">
              <w:rPr>
                <w:rFonts w:eastAsia="Times New Roman" w:cstheme="minorHAnsi"/>
                <w:color w:val="auto"/>
                <w:sz w:val="20"/>
                <w:szCs w:val="20"/>
                <w:lang w:eastAsia="it-IT"/>
              </w:rPr>
              <w:t>All</w:t>
            </w:r>
            <w:proofErr w:type="spellEnd"/>
            <w:r w:rsidR="00112A54" w:rsidRPr="00562F69">
              <w:rPr>
                <w:rFonts w:eastAsia="Times New Roman" w:cstheme="minorHAnsi"/>
                <w:color w:val="auto"/>
                <w:sz w:val="20"/>
                <w:szCs w:val="20"/>
                <w:lang w:eastAsia="it-IT"/>
              </w:rPr>
              <w:t xml:space="preserve">. </w:t>
            </w:r>
            <w:r w:rsidRPr="00562F69">
              <w:rPr>
                <w:rFonts w:eastAsia="Times New Roman" w:cstheme="minorHAnsi"/>
                <w:color w:val="auto"/>
                <w:sz w:val="20"/>
                <w:szCs w:val="20"/>
                <w:lang w:eastAsia="it-IT"/>
              </w:rPr>
              <w:t>4/1 (si veda nota metodologica riportata in calce alla presente tabella) tutte le seguenti informazioni</w:t>
            </w:r>
            <w:r w:rsidRPr="00562F69">
              <w:rPr>
                <w:rFonts w:eastAsia="Times New Roman" w:cstheme="minorHAnsi"/>
                <w:color w:val="auto"/>
                <w:lang w:eastAsia="it-IT"/>
              </w:rPr>
              <w:t>:</w:t>
            </w:r>
          </w:p>
          <w:p w14:paraId="53ADEE99"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lang w:eastAsia="it-IT"/>
              </w:rPr>
              <w:t>a)</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14:paraId="52A739C0"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b)</w:t>
            </w:r>
            <w:r w:rsidRPr="00562F69">
              <w:rPr>
                <w:rFonts w:eastAsia="Times New Roman" w:cstheme="minorHAnsi"/>
                <w:color w:val="auto"/>
                <w:sz w:val="20"/>
                <w:szCs w:val="20"/>
                <w:lang w:eastAsia="it-IT"/>
              </w:rPr>
              <w:tab/>
              <w:t xml:space="preserve">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14:paraId="745F503E"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c)</w:t>
            </w:r>
            <w:r w:rsidRPr="00562F69">
              <w:rPr>
                <w:rFonts w:eastAsia="Times New Roman" w:cstheme="minorHAnsi"/>
                <w:color w:val="auto"/>
                <w:sz w:val="20"/>
                <w:szCs w:val="20"/>
                <w:lang w:eastAsia="it-IT"/>
              </w:rPr>
              <w:tab/>
              <w:t xml:space="preserve">l’elenco analitico degli utilizzi delle quote vincolate e accantonate del risultato di amministrazione presunto, distinguendo i vincoli derivanti dalla legge e dai principi contabili, dai trasferimenti, da mutui e altri finanziamenti, vincoli formalmente attribuiti dall’ente; </w:t>
            </w:r>
          </w:p>
          <w:p w14:paraId="07963E08"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d)</w:t>
            </w:r>
            <w:r w:rsidRPr="00562F69">
              <w:rPr>
                <w:rFonts w:eastAsia="Times New Roman" w:cstheme="minorHAnsi"/>
                <w:color w:val="auto"/>
                <w:sz w:val="20"/>
                <w:szCs w:val="20"/>
                <w:lang w:eastAsia="it-IT"/>
              </w:rPr>
              <w:tab/>
              <w:t xml:space="preserve">l’elenco degli interventi programmati per spese di investimento finanziati col ricorso al debito e con le risorse disponibili; </w:t>
            </w:r>
          </w:p>
          <w:p w14:paraId="29D674C7" w14:textId="0DA023A9"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e)</w:t>
            </w:r>
            <w:r w:rsidRPr="00562F69">
              <w:rPr>
                <w:rFonts w:eastAsia="Times New Roman" w:cstheme="minorHAnsi"/>
                <w:color w:val="auto"/>
                <w:sz w:val="20"/>
                <w:szCs w:val="20"/>
                <w:lang w:eastAsia="it-IT"/>
              </w:rPr>
              <w:tab/>
              <w:t xml:space="preserve">nel caso in cui gli stanziamenti riguardanti il fondo pluriennale vincolato comprendono anche investimenti ancora in corso di definizione, le cause che non hanno reso possibile </w:t>
            </w:r>
            <w:r w:rsidR="003448F7" w:rsidRPr="00562F69">
              <w:rPr>
                <w:rFonts w:eastAsia="Times New Roman" w:cstheme="minorHAnsi"/>
                <w:color w:val="auto"/>
                <w:sz w:val="20"/>
                <w:szCs w:val="20"/>
                <w:lang w:eastAsia="it-IT"/>
              </w:rPr>
              <w:t>attuare</w:t>
            </w:r>
            <w:r w:rsidRPr="00562F69">
              <w:rPr>
                <w:rFonts w:eastAsia="Times New Roman" w:cstheme="minorHAnsi"/>
                <w:color w:val="auto"/>
                <w:sz w:val="20"/>
                <w:szCs w:val="20"/>
                <w:lang w:eastAsia="it-IT"/>
              </w:rPr>
              <w:t xml:space="preserve"> la programmazione necessaria alla definizione dei relativi cronoprogrammi; </w:t>
            </w:r>
          </w:p>
          <w:p w14:paraId="234AAEC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f)</w:t>
            </w:r>
            <w:r w:rsidRPr="00562F69">
              <w:rPr>
                <w:rFonts w:eastAsia="Times New Roman" w:cstheme="minorHAnsi"/>
                <w:color w:val="auto"/>
                <w:sz w:val="20"/>
                <w:szCs w:val="20"/>
                <w:lang w:eastAsia="it-IT"/>
              </w:rPr>
              <w:tab/>
              <w:t xml:space="preserve">l’elenco delle garanzie principali o sussidiarie prestate dall’ente a favore di enti e di altri soggetti ai sensi delle leggi vigenti; </w:t>
            </w:r>
          </w:p>
          <w:p w14:paraId="03205394"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g)</w:t>
            </w:r>
            <w:r w:rsidRPr="00562F69">
              <w:rPr>
                <w:rFonts w:eastAsia="Times New Roman" w:cstheme="minorHAnsi"/>
                <w:color w:val="auto"/>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A33003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h)</w:t>
            </w:r>
            <w:r w:rsidRPr="00562F69">
              <w:rPr>
                <w:rFonts w:eastAsia="Times New Roman" w:cstheme="minorHAnsi"/>
                <w:color w:val="auto"/>
                <w:sz w:val="20"/>
                <w:szCs w:val="20"/>
                <w:lang w:eastAsia="it-IT"/>
              </w:rPr>
              <w:tab/>
              <w:t xml:space="preserve">l’elenco dei propri enti ed organismi strumentali, precisando che i relativi bilanci consuntivi sono consultabili nel proprio sito internet fermo restando quanto previsto per gli enti locali dall’art. 172, comma 1, lettera a) del Tuel; </w:t>
            </w:r>
          </w:p>
          <w:p w14:paraId="619C7209" w14:textId="77777777" w:rsidR="0050356C" w:rsidRPr="00562F69" w:rsidRDefault="0050356C" w:rsidP="002D2A71">
            <w:pPr>
              <w:spacing w:before="120" w:after="120" w:line="240" w:lineRule="auto"/>
              <w:ind w:left="340" w:hanging="274"/>
              <w:rPr>
                <w:rFonts w:eastAsia="Times New Roman" w:cstheme="minorHAnsi"/>
                <w:color w:val="auto"/>
                <w:lang w:eastAsia="it-IT"/>
              </w:rPr>
            </w:pPr>
            <w:r w:rsidRPr="00562F69">
              <w:rPr>
                <w:rFonts w:eastAsia="Times New Roman" w:cstheme="minorHAnsi"/>
                <w:color w:val="auto"/>
                <w:lang w:eastAsia="it-IT"/>
              </w:rPr>
              <w:t>i)</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l’elenco delle partecipazioni possedute con l’indicazione della relativa quota percentuale; </w:t>
            </w:r>
          </w:p>
          <w:p w14:paraId="49CFA03F" w14:textId="77777777" w:rsidR="0050356C" w:rsidRPr="00290A6B" w:rsidRDefault="0050356C" w:rsidP="002D2A71">
            <w:pPr>
              <w:spacing w:before="120" w:after="120" w:line="240" w:lineRule="auto"/>
              <w:ind w:left="343" w:hanging="274"/>
              <w:rPr>
                <w:rFonts w:ascii="Arial" w:eastAsia="Times New Roman" w:hAnsi="Arial" w:cs="Arial"/>
                <w:lang w:eastAsia="it-IT"/>
              </w:rPr>
            </w:pPr>
            <w:r w:rsidRPr="00562F69">
              <w:rPr>
                <w:rFonts w:eastAsia="Times New Roman" w:cstheme="minorHAnsi"/>
                <w:color w:val="auto"/>
                <w:lang w:eastAsia="it-IT"/>
              </w:rPr>
              <w:t>j)</w:t>
            </w:r>
            <w:r w:rsidRPr="00562F69">
              <w:rPr>
                <w:rFonts w:eastAsia="Times New Roman" w:cstheme="minorHAnsi"/>
                <w:color w:val="auto"/>
                <w:lang w:eastAsia="it-IT"/>
              </w:rPr>
              <w:tab/>
            </w:r>
            <w:r w:rsidRPr="00562F69">
              <w:rPr>
                <w:rFonts w:eastAsia="Times New Roman" w:cstheme="minorHAnsi"/>
                <w:color w:val="auto"/>
                <w:sz w:val="20"/>
                <w:szCs w:val="20"/>
                <w:lang w:eastAsia="it-IT"/>
              </w:rPr>
              <w:t>altre informazioni riguardanti le previsioni, richieste dalla legge o necessarie per l’interpretazione del bilancio.</w:t>
            </w:r>
          </w:p>
        </w:tc>
        <w:tc>
          <w:tcPr>
            <w:tcW w:w="1134" w:type="dxa"/>
          </w:tcPr>
          <w:p w14:paraId="3D436B67" w14:textId="77777777" w:rsidR="0050356C" w:rsidRPr="00290A6B" w:rsidRDefault="0050356C" w:rsidP="002D2A71">
            <w:pPr>
              <w:spacing w:after="0" w:line="240" w:lineRule="auto"/>
              <w:rPr>
                <w:rFonts w:ascii="Arial" w:eastAsia="Times New Roman" w:hAnsi="Arial" w:cs="Arial"/>
                <w:b/>
                <w:lang w:eastAsia="it-IT"/>
              </w:rPr>
            </w:pPr>
          </w:p>
        </w:tc>
        <w:tc>
          <w:tcPr>
            <w:tcW w:w="1276" w:type="dxa"/>
          </w:tcPr>
          <w:p w14:paraId="5E7C1214" w14:textId="77777777" w:rsidR="0050356C" w:rsidRPr="00290A6B" w:rsidRDefault="0050356C" w:rsidP="002D2A71">
            <w:pPr>
              <w:spacing w:after="0" w:line="240" w:lineRule="auto"/>
              <w:rPr>
                <w:rFonts w:ascii="Arial" w:eastAsia="Times New Roman" w:hAnsi="Arial" w:cs="Arial"/>
                <w:b/>
                <w:lang w:eastAsia="it-IT"/>
              </w:rPr>
            </w:pPr>
          </w:p>
        </w:tc>
        <w:tc>
          <w:tcPr>
            <w:tcW w:w="1588" w:type="dxa"/>
          </w:tcPr>
          <w:p w14:paraId="58CE63ED" w14:textId="77777777" w:rsidR="0050356C" w:rsidRPr="00290A6B" w:rsidRDefault="0050356C"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lastRenderedPageBreak/>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p w14:paraId="2728BC42" w14:textId="77777777" w:rsidR="0050356C" w:rsidRDefault="0050356C" w:rsidP="0050356C">
      <w:pPr>
        <w:spacing w:after="0" w:line="240" w:lineRule="auto"/>
        <w:rPr>
          <w:rFonts w:eastAsia="Times New Roman" w:cstheme="minorHAnsi"/>
          <w:b/>
          <w:lang w:eastAsia="it-IT"/>
        </w:rPr>
      </w:pPr>
    </w:p>
    <w:p w14:paraId="20BCA0BC" w14:textId="6B012D03" w:rsidR="0050356C" w:rsidRPr="003B5E60" w:rsidRDefault="0050356C" w:rsidP="0050356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7F6F01A4"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609EFD5E" w14:textId="77777777" w:rsidR="0050356C" w:rsidRPr="003B5E60" w:rsidRDefault="0050356C" w:rsidP="0050356C">
      <w:pPr>
        <w:spacing w:after="0" w:line="240" w:lineRule="auto"/>
        <w:ind w:left="709" w:hanging="709"/>
        <w:rPr>
          <w:rFonts w:eastAsia="Times New Roman" w:cstheme="minorHAnsi"/>
          <w:i/>
          <w:iCs/>
          <w:lang w:eastAsia="it-IT"/>
        </w:rPr>
      </w:pPr>
      <w:r w:rsidRPr="00C466DF">
        <w:rPr>
          <w:rFonts w:eastAsia="Times New Roman" w:cstheme="minorHAnsi"/>
          <w:b/>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 </w:t>
      </w:r>
    </w:p>
    <w:p w14:paraId="4E6AE4AD" w14:textId="77777777" w:rsidR="0050356C" w:rsidRPr="003B5E60" w:rsidRDefault="0050356C" w:rsidP="0050356C">
      <w:pPr>
        <w:spacing w:after="0" w:line="240" w:lineRule="auto"/>
        <w:ind w:left="709"/>
        <w:rPr>
          <w:rFonts w:eastAsia="Times New Roman" w:cstheme="minorHAnsi"/>
          <w:i/>
          <w:iCs/>
          <w:lang w:eastAsia="it-IT"/>
        </w:rPr>
      </w:pPr>
      <w:r w:rsidRPr="003B5E60">
        <w:rPr>
          <w:rFonts w:eastAsia="Times New Roman" w:cstheme="minorHAnsi"/>
          <w:i/>
          <w:iCs/>
          <w:lang w:eastAsia="it-IT"/>
        </w:rPr>
        <w:t xml:space="preserve">Per la spesa, relativamente al contenuto di ciascun programma di </w:t>
      </w:r>
      <w:proofErr w:type="gramStart"/>
      <w:r w:rsidRPr="003B5E60">
        <w:rPr>
          <w:rFonts w:eastAsia="Times New Roman" w:cstheme="minorHAnsi"/>
          <w:i/>
          <w:iCs/>
          <w:lang w:eastAsia="it-IT"/>
        </w:rPr>
        <w:t xml:space="preserve">spesa,   </w:t>
      </w:r>
      <w:proofErr w:type="gramEnd"/>
      <w:r w:rsidRPr="003B5E60">
        <w:rPr>
          <w:rFonts w:eastAsia="Times New Roman" w:cstheme="minorHAnsi"/>
          <w:i/>
          <w:iCs/>
          <w:lang w:eastAsia="it-IT"/>
        </w:rPr>
        <w:t>la nota integrativa illustra i criteri di formulazione delle previsioni, con riguardo, in particolare:</w:t>
      </w:r>
    </w:p>
    <w:p w14:paraId="75D39F67"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52973B76"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0ED10040" w14:textId="77777777" w:rsidR="0050356C" w:rsidRPr="003B5E60" w:rsidRDefault="0050356C" w:rsidP="0050356C">
      <w:pPr>
        <w:spacing w:after="0" w:line="240" w:lineRule="auto"/>
        <w:rPr>
          <w:rFonts w:eastAsia="Times New Roman" w:cstheme="minorHAnsi"/>
          <w:i/>
          <w:iCs/>
          <w:lang w:eastAsia="it-IT"/>
        </w:rPr>
      </w:pPr>
    </w:p>
    <w:p w14:paraId="03035DB0" w14:textId="77777777" w:rsidR="0050356C" w:rsidRPr="003B5E60" w:rsidRDefault="0050356C" w:rsidP="0050356C">
      <w:pPr>
        <w:spacing w:after="0" w:line="240" w:lineRule="auto"/>
        <w:ind w:left="709" w:hanging="709"/>
        <w:rPr>
          <w:rFonts w:eastAsia="Times New Roman" w:cstheme="minorHAnsi"/>
          <w:i/>
          <w:iCs/>
          <w:lang w:eastAsia="zh-TW"/>
        </w:rPr>
      </w:pPr>
      <w:r w:rsidRPr="00C466DF">
        <w:rPr>
          <w:rFonts w:eastAsia="Times New Roman" w:cstheme="minorHAnsi"/>
          <w:b/>
          <w:lang w:eastAsia="it-IT"/>
        </w:rPr>
        <w:t>§ 9.11.3</w:t>
      </w:r>
      <w:r w:rsidRPr="00C466DF">
        <w:rPr>
          <w:rFonts w:eastAsia="Times New Roman" w:cstheme="minorHAnsi"/>
          <w:lang w:eastAsia="it-IT"/>
        </w:rPr>
        <w:t xml:space="preserve"> </w:t>
      </w:r>
      <w:r w:rsidRPr="003B5E60">
        <w:rPr>
          <w:rFonts w:eastAsia="Times New Roman" w:cstheme="minorHAnsi"/>
          <w:i/>
          <w:iCs/>
          <w:lang w:eastAsia="it-IT"/>
        </w:rPr>
        <w:t xml:space="preserve">La nota analizza altresì l’articolazione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l’acquisizione dell’entrata sia prevista a regime ovvero limitata ad uno o più esercizi, e le spese sono distinte in ricorrente e non ricorrente, a seconda se la spesa sia prevista a regime o limitata ad uno o più esercizi.</w:t>
      </w:r>
    </w:p>
    <w:p w14:paraId="332DD286" w14:textId="77777777" w:rsidR="0050356C" w:rsidRPr="003B5E60" w:rsidRDefault="0050356C" w:rsidP="0050356C">
      <w:pPr>
        <w:tabs>
          <w:tab w:val="left" w:pos="993"/>
        </w:tabs>
        <w:spacing w:after="0" w:line="240" w:lineRule="auto"/>
        <w:ind w:left="709" w:right="-2"/>
        <w:contextualSpacing/>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7FF23140"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donazioni, sanatorie, abusi edilizi e sanzioni;</w:t>
      </w:r>
    </w:p>
    <w:p w14:paraId="09585B8A"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condoni;</w:t>
      </w:r>
    </w:p>
    <w:p w14:paraId="1DBC7734"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gettiti derivanti dalla lotta all’evasione tributaria;</w:t>
      </w:r>
    </w:p>
    <w:p w14:paraId="6235D6F6"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entrate per eventi calamitosi;</w:t>
      </w:r>
    </w:p>
    <w:p w14:paraId="468489B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alienazione di immobilizzazioni;</w:t>
      </w:r>
    </w:p>
    <w:p w14:paraId="65A4E07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accensioni di prestiti;</w:t>
      </w:r>
    </w:p>
    <w:p w14:paraId="01450A88"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l’erogazione.</w:t>
      </w:r>
    </w:p>
    <w:p w14:paraId="50B1C531" w14:textId="77777777" w:rsidR="0050356C" w:rsidRPr="003B5E60" w:rsidRDefault="0050356C" w:rsidP="0050356C">
      <w:pPr>
        <w:spacing w:before="240" w:after="120" w:line="240" w:lineRule="auto"/>
        <w:ind w:left="851"/>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4EE6D51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consultazioni elettorali o referendarie locali,</w:t>
      </w:r>
    </w:p>
    <w:p w14:paraId="08890AE7"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lastRenderedPageBreak/>
        <w:t>i ripiani disavanzi pregressi di aziende e società e gli altri trasferimenti in c/capitale,</w:t>
      </w:r>
    </w:p>
    <w:p w14:paraId="0C7400F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eventi calamitosi,</w:t>
      </w:r>
    </w:p>
    <w:p w14:paraId="595583F4"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sentenze esecutive ed atti equiparati,</w:t>
      </w:r>
    </w:p>
    <w:p w14:paraId="40B4166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investimenti diretti,</w:t>
      </w:r>
    </w:p>
    <w:p w14:paraId="57CB9946" w14:textId="77777777" w:rsidR="0050356C"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w:t>
      </w:r>
    </w:p>
    <w:p w14:paraId="278DB7EC" w14:textId="77777777" w:rsidR="00277696" w:rsidRDefault="00277696" w:rsidP="00277696">
      <w:pPr>
        <w:spacing w:after="0" w:line="240" w:lineRule="auto"/>
        <w:ind w:right="-2"/>
        <w:contextualSpacing/>
        <w:rPr>
          <w:rFonts w:eastAsia="Times New Roman" w:cstheme="minorHAnsi"/>
          <w:i/>
          <w:iCs/>
          <w:lang w:eastAsia="it-IT"/>
        </w:rPr>
      </w:pPr>
    </w:p>
    <w:p w14:paraId="7C202A94" w14:textId="12529CE6" w:rsidR="00277696" w:rsidRPr="00277696" w:rsidRDefault="00277696" w:rsidP="00277696">
      <w:pPr>
        <w:spacing w:after="0" w:line="240" w:lineRule="auto"/>
        <w:ind w:right="-2"/>
        <w:contextualSpacing/>
        <w:rPr>
          <w:rFonts w:eastAsia="Times New Roman" w:cstheme="minorHAnsi"/>
          <w:i/>
          <w:iCs/>
          <w:lang w:eastAsia="it-IT"/>
        </w:rPr>
      </w:pPr>
      <w:r w:rsidRPr="00C466DF">
        <w:rPr>
          <w:rFonts w:eastAsia="Times New Roman" w:cstheme="minorHAnsi"/>
          <w:b/>
          <w:bCs/>
          <w:lang w:eastAsia="it-IT"/>
        </w:rPr>
        <w:t>§ 9.11.4</w:t>
      </w:r>
      <w:r>
        <w:rPr>
          <w:rFonts w:eastAsia="Times New Roman" w:cstheme="minorHAnsi"/>
          <w:i/>
          <w:iCs/>
          <w:lang w:eastAsia="it-IT"/>
        </w:rPr>
        <w:tab/>
      </w:r>
      <w:r w:rsidRPr="00277696">
        <w:rPr>
          <w:rFonts w:eastAsia="Times New Roman" w:cstheme="minorHAnsi"/>
          <w:i/>
          <w:iCs/>
          <w:lang w:eastAsia="it-IT"/>
        </w:rPr>
        <w:t>La nota integrativa riepiloga e illustra gli elenchi analitici delle quote vincolate, accantonate e destinate agli investimenti che compongono il risultato di amministrazione presunto di cui agli allegati a/1, a/2 e a/3:</w:t>
      </w:r>
    </w:p>
    <w:p w14:paraId="790E5C7C" w14:textId="77777777" w:rsidR="00277696" w:rsidRPr="00277696" w:rsidRDefault="00277696" w:rsidP="00277696">
      <w:pPr>
        <w:spacing w:after="0" w:line="240" w:lineRule="auto"/>
        <w:ind w:right="-2"/>
        <w:contextualSpacing/>
        <w:rPr>
          <w:rFonts w:eastAsia="Times New Roman" w:cstheme="minorHAnsi"/>
          <w:i/>
          <w:iCs/>
          <w:lang w:eastAsia="it-IT"/>
        </w:rPr>
      </w:pPr>
    </w:p>
    <w:p w14:paraId="36FEF077"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evidenziando gli utilizzi anticipati delle quote del risultato di amministrazione presunto effettuati nel rispetto delle norme e dei principi contabili. Gli enti in disavanzo (che presentano un importo negativo della lettera E del prospetto riguardante il risultato di amministrazione presunto) individuano l’importo del risultato di amministrazione presunto che possono applicare al bilancio di previsione, nel rispetto dell’articolo 1, commi 897 – 900, della legge n. 145 del 2018;</w:t>
      </w:r>
    </w:p>
    <w:p w14:paraId="6D5BE2F7" w14:textId="77777777" w:rsidR="00277696" w:rsidRPr="00277696" w:rsidRDefault="00277696" w:rsidP="00277696">
      <w:pPr>
        <w:spacing w:after="0" w:line="240" w:lineRule="auto"/>
        <w:ind w:right="-2"/>
        <w:contextualSpacing/>
        <w:rPr>
          <w:rFonts w:eastAsia="Times New Roman" w:cstheme="minorHAnsi"/>
          <w:i/>
          <w:iCs/>
          <w:lang w:eastAsia="it-IT"/>
        </w:rPr>
      </w:pPr>
    </w:p>
    <w:p w14:paraId="791F007C"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descrivendo con riferimento alle componenti più rilevanti l’utilizzo dei fondi e delle entrate vincolate e destinate del risultato di amministrazione presunto, previsto nel bilancio di previsione, nel rispetto dei vincoli e delle finalità degli accantonamenti.</w:t>
      </w:r>
    </w:p>
    <w:p w14:paraId="35627E79" w14:textId="77777777" w:rsidR="00277696" w:rsidRPr="00277696" w:rsidRDefault="00277696" w:rsidP="00277696">
      <w:pPr>
        <w:spacing w:after="0" w:line="240" w:lineRule="auto"/>
        <w:ind w:right="-2"/>
        <w:contextualSpacing/>
        <w:rPr>
          <w:rFonts w:eastAsia="Times New Roman" w:cstheme="minorHAnsi"/>
          <w:i/>
          <w:iCs/>
          <w:lang w:eastAsia="it-IT"/>
        </w:rPr>
      </w:pPr>
    </w:p>
    <w:p w14:paraId="1E9AB150"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Nella nota integrativa sono altresì riportati gli elenchi analitici dei capitoli di spesa finanziati da un unico capitolo di entrata vincolata o da un unico capitolo di entrata destinata agli investimenti, che negli allegati a/2 e a/3 sono stati aggregati in un’unica voce.</w:t>
      </w:r>
    </w:p>
    <w:p w14:paraId="2F911D3C" w14:textId="77777777" w:rsidR="00277696" w:rsidRPr="00277696" w:rsidRDefault="00277696" w:rsidP="00277696">
      <w:pPr>
        <w:spacing w:after="0" w:line="240" w:lineRule="auto"/>
        <w:ind w:right="-2"/>
        <w:contextualSpacing/>
        <w:rPr>
          <w:rFonts w:eastAsia="Times New Roman" w:cstheme="minorHAnsi"/>
          <w:i/>
          <w:iCs/>
          <w:lang w:eastAsia="it-IT"/>
        </w:rPr>
      </w:pPr>
    </w:p>
    <w:p w14:paraId="6D1B5219"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L’elenco analitico di tali capitoli segue gli schemi previsti per gli allegati a/2 e a/3.</w:t>
      </w:r>
    </w:p>
    <w:p w14:paraId="4C2977FA" w14:textId="77777777" w:rsidR="00277696" w:rsidRPr="00277696" w:rsidRDefault="00277696" w:rsidP="00277696">
      <w:pPr>
        <w:spacing w:after="0" w:line="240" w:lineRule="auto"/>
        <w:ind w:right="-2"/>
        <w:contextualSpacing/>
        <w:rPr>
          <w:rFonts w:eastAsia="Times New Roman" w:cstheme="minorHAnsi"/>
          <w:i/>
          <w:iCs/>
          <w:lang w:eastAsia="it-IT"/>
        </w:rPr>
      </w:pPr>
    </w:p>
    <w:p w14:paraId="59843658" w14:textId="6DEC8510" w:rsidR="00277696" w:rsidRPr="003B5E60"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Tali indicazioni non sono obbligatorie nei casi in cui l’ente non è tenuto ad allegare gli elenchi analitici.</w:t>
      </w:r>
    </w:p>
    <w:p w14:paraId="38C3ECF2" w14:textId="14FB0186" w:rsidR="0050356C" w:rsidRPr="003B5E60" w:rsidRDefault="00277696" w:rsidP="0050356C">
      <w:pPr>
        <w:spacing w:before="100" w:beforeAutospacing="1" w:after="100" w:afterAutospacing="1" w:line="240" w:lineRule="auto"/>
        <w:rPr>
          <w:rFonts w:eastAsia="Times New Roman" w:cstheme="minorHAnsi"/>
          <w:i/>
          <w:iCs/>
          <w:lang w:eastAsia="it-IT"/>
        </w:rPr>
      </w:pPr>
      <w:r w:rsidRPr="00C466DF">
        <w:rPr>
          <w:rFonts w:eastAsia="Times New Roman" w:cstheme="minorHAnsi"/>
          <w:b/>
          <w:bCs/>
          <w:lang w:eastAsia="it-IT"/>
        </w:rPr>
        <w:t>§ 9.11.5</w:t>
      </w:r>
      <w:r>
        <w:rPr>
          <w:rFonts w:eastAsia="Times New Roman" w:cstheme="minorHAnsi"/>
          <w:i/>
          <w:iCs/>
          <w:lang w:eastAsia="it-IT"/>
        </w:rPr>
        <w:t xml:space="preserve"> </w:t>
      </w:r>
      <w:r w:rsidR="0050356C"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F65C393" w14:textId="77777777" w:rsidR="0050356C" w:rsidRPr="003B5E60" w:rsidRDefault="0050356C" w:rsidP="0050356C">
      <w:pPr>
        <w:spacing w:before="120" w:after="120" w:line="240" w:lineRule="auto"/>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0E0CB912" w14:textId="77777777" w:rsidR="0050356C" w:rsidRPr="003B5E60" w:rsidRDefault="0050356C" w:rsidP="0050356C">
      <w:pPr>
        <w:numPr>
          <w:ilvl w:val="0"/>
          <w:numId w:val="47"/>
        </w:numPr>
        <w:spacing w:after="0" w:line="240" w:lineRule="auto"/>
        <w:ind w:left="426" w:hanging="284"/>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192492C6"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loro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determinato secondo le modalità previste dall’articolo 1, comma 3, del D.lgs. 30 dicembre 2003, n. 394;</w:t>
      </w:r>
    </w:p>
    <w:p w14:paraId="2B1F885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valore nominale e il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della passività sulla quale insiste il derivato stesso </w:t>
      </w:r>
      <w:proofErr w:type="gramStart"/>
      <w:r w:rsidRPr="003B5E60">
        <w:rPr>
          <w:rFonts w:eastAsia="Times New Roman" w:cstheme="minorHAnsi"/>
          <w:i/>
          <w:iCs/>
          <w:lang w:eastAsia="it-IT"/>
        </w:rPr>
        <w:t>e  il</w:t>
      </w:r>
      <w:proofErr w:type="gramEnd"/>
      <w:r w:rsidRPr="003B5E60">
        <w:rPr>
          <w:rFonts w:eastAsia="Times New Roman" w:cstheme="minorHAnsi"/>
          <w:i/>
          <w:iCs/>
          <w:lang w:eastAsia="it-IT"/>
        </w:rPr>
        <w:t xml:space="preserve"> relativo tasso di interesse;</w:t>
      </w:r>
    </w:p>
    <w:p w14:paraId="73BEB70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l’elaborazione di tali previsioni</w:t>
      </w:r>
    </w:p>
    <w:p w14:paraId="7680EC5F"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tasso costo finale sintetico presunto a carico dell’Ente, calcolato, per ciascun esercizio cui il bilancio si riferisce, secondo la seguente formulazione: (TFSCFS= {[(Interessi su debito sottostante+/- Differenziali </w:t>
      </w:r>
      <w:proofErr w:type="gramStart"/>
      <w:r w:rsidRPr="003B5E60">
        <w:rPr>
          <w:rFonts w:eastAsia="Times New Roman" w:cstheme="minorHAnsi"/>
          <w:i/>
          <w:iCs/>
          <w:lang w:eastAsia="it-IT"/>
        </w:rPr>
        <w:t>swap)*</w:t>
      </w:r>
      <w:proofErr w:type="gramEnd"/>
      <w:r w:rsidRPr="003B5E60">
        <w:rPr>
          <w:rFonts w:eastAsia="Times New Roman" w:cstheme="minorHAnsi"/>
          <w:i/>
          <w:iCs/>
          <w:lang w:eastAsia="it-IT"/>
        </w:rPr>
        <w:t>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4AF8EE86"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lastRenderedPageBreak/>
        <w:t>Ai fini dell’applicazione del presente principio, per la definizione di strumento finanziari derivato si fa riferimento ai principi contabili riconosciuti in ambito internazionale e compatibili con la disciplina in materia dell’Unione europea.</w:t>
      </w:r>
    </w:p>
    <w:p w14:paraId="4AE367D1" w14:textId="77777777" w:rsidR="0050356C" w:rsidRPr="003B5E60" w:rsidRDefault="0050356C" w:rsidP="0050356C">
      <w:pPr>
        <w:spacing w:before="100" w:beforeAutospacing="1" w:after="100" w:afterAutospacing="1" w:line="240" w:lineRule="auto"/>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1128E4D" w14:textId="5CB5931B" w:rsidR="0050356C" w:rsidRPr="003B5E60" w:rsidRDefault="00277696" w:rsidP="0050356C">
      <w:pPr>
        <w:tabs>
          <w:tab w:val="left" w:pos="993"/>
        </w:tabs>
        <w:spacing w:after="0" w:line="240" w:lineRule="auto"/>
        <w:contextualSpacing/>
        <w:rPr>
          <w:rFonts w:eastAsia="Calibri" w:cstheme="minorHAnsi"/>
          <w:bCs/>
          <w:i/>
          <w:iCs/>
          <w:lang w:eastAsia="it-IT"/>
        </w:rPr>
      </w:pPr>
      <w:r w:rsidRPr="00C466DF">
        <w:rPr>
          <w:rFonts w:eastAsia="Times New Roman" w:cstheme="minorHAnsi"/>
          <w:b/>
          <w:lang w:eastAsia="it-IT"/>
        </w:rPr>
        <w:t xml:space="preserve">§ </w:t>
      </w:r>
      <w:proofErr w:type="gramStart"/>
      <w:r w:rsidR="0050356C" w:rsidRPr="00C466DF">
        <w:rPr>
          <w:rFonts w:eastAsia="Times New Roman" w:cstheme="minorHAnsi"/>
          <w:b/>
          <w:lang w:eastAsia="it-IT"/>
        </w:rPr>
        <w:t>9.11.6</w:t>
      </w:r>
      <w:r w:rsidR="0050356C" w:rsidRPr="003B5E60">
        <w:rPr>
          <w:rFonts w:eastAsia="Times New Roman" w:cstheme="minorHAnsi"/>
          <w:bCs/>
          <w:i/>
          <w:iCs/>
          <w:lang w:eastAsia="it-IT"/>
        </w:rPr>
        <w:t xml:space="preserve">  L’articolo</w:t>
      </w:r>
      <w:proofErr w:type="gramEnd"/>
      <w:r w:rsidR="0050356C" w:rsidRPr="003B5E60">
        <w:rPr>
          <w:rFonts w:eastAsia="Times New Roman" w:cstheme="minorHAnsi"/>
          <w:bCs/>
          <w:i/>
          <w:iCs/>
          <w:lang w:eastAsia="it-IT"/>
        </w:rPr>
        <w:t xml:space="preserve"> 11, comma 5, lettera d) del presente decreto prevede che la nota integrativa indichi </w:t>
      </w:r>
      <w:r w:rsidR="0050356C" w:rsidRPr="003B5E60">
        <w:rPr>
          <w:rFonts w:eastAsia="Calibri" w:cstheme="minorHAnsi"/>
          <w:bCs/>
          <w:i/>
          <w:iCs/>
          <w:lang w:eastAsia="it-IT"/>
        </w:rPr>
        <w:t xml:space="preserve">l’elenco degli interventi programmati per spese di investimento finanziati col ricorso al debito e con le risorse disponibili. </w:t>
      </w:r>
    </w:p>
    <w:p w14:paraId="0FE9DD7E"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L’elenco degli interventi programmati per spese di investimento, articolato secondo la differente natura delle risorse disponibili, è predisposto con riferimento a ciascun esercizio considerato nel bilancio di previsione, attraverso l’indicazione degli articoli/capitoli e dei relativi investimenti.</w:t>
      </w:r>
    </w:p>
    <w:p w14:paraId="19E2E31F"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302FE684"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38AB3005"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in conto capitale (titolo 4);</w:t>
      </w:r>
    </w:p>
    <w:p w14:paraId="1A5DF008"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all’estinzione anticipata dei prestiti;</w:t>
      </w:r>
    </w:p>
    <w:p w14:paraId="20CE2FEF"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 xml:space="preserve">le entrate da accensione prestiti (Titolo 5), che costituiscono il ricorso al debito. </w:t>
      </w:r>
    </w:p>
    <w:p w14:paraId="2111B32D" w14:textId="77777777" w:rsidR="0050356C" w:rsidRPr="003B5E60" w:rsidRDefault="0050356C" w:rsidP="0050356C">
      <w:pPr>
        <w:spacing w:after="0" w:line="240" w:lineRule="auto"/>
        <w:rPr>
          <w:rFonts w:eastAsia="Times New Roman" w:cstheme="minorHAnsi"/>
          <w:bCs/>
          <w:i/>
          <w:iCs/>
          <w:lang w:eastAsia="it-IT"/>
        </w:rPr>
      </w:pPr>
    </w:p>
    <w:p w14:paraId="3F138689"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Le risorse di cui alle lettere da b) a d) costituiscono copertura finanziaria degli impegni concernenti le spese di investimento a seguito dell’accertamento delle entrate, esigibili nell’esercizio in corso di gestione o la cui esigibilità è nella piena discrezionalità dell’ente o di altra amministrazione pubblica. </w:t>
      </w:r>
    </w:p>
    <w:p w14:paraId="6B1D10A8" w14:textId="77777777" w:rsidR="0050356C" w:rsidRPr="003B5E60" w:rsidRDefault="0050356C" w:rsidP="0050356C">
      <w:pPr>
        <w:spacing w:after="0" w:line="240" w:lineRule="auto"/>
        <w:rPr>
          <w:rFonts w:eastAsia="Times New Roman" w:cstheme="minorHAnsi"/>
          <w:bCs/>
          <w:i/>
          <w:iCs/>
          <w:lang w:eastAsia="it-IT"/>
        </w:rPr>
      </w:pPr>
    </w:p>
    <w:p w14:paraId="5514E388"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all’esercizio in corso di gestione o per gli impegni imputati agli esercizi successivi.</w:t>
      </w:r>
    </w:p>
    <w:p w14:paraId="1D69C4D4"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all’esercizio in corso di gestione, la copertura è costituita dall’intero importo del saldo positivo di parte corrente previsto nel bilancio di previsione per l’esercizio in corso di gestione.  </w:t>
      </w:r>
    </w:p>
    <w:p w14:paraId="7DB0CC7B"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02A1983A"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0C59A132"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In relazione alla differente disciplina delle modalità di copertura e delle verifiche da effettuare ai fini dell’attestazione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6589B083"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lastRenderedPageBreak/>
        <w:t xml:space="preserve">una quota di importo non superiore al limite previsto dal principio contabile generale n. 16, specificato dal principio applicato della contabilità </w:t>
      </w:r>
      <w:proofErr w:type="gramStart"/>
      <w:r w:rsidRPr="003B5E60">
        <w:rPr>
          <w:rFonts w:eastAsia="Times New Roman" w:cstheme="minorHAnsi"/>
          <w:bCs/>
          <w:i/>
          <w:iCs/>
          <w:lang w:eastAsia="it-IT"/>
        </w:rPr>
        <w:t>finanziaria  n.</w:t>
      </w:r>
      <w:proofErr w:type="gramEnd"/>
      <w:r w:rsidRPr="003B5E60">
        <w:rPr>
          <w:rFonts w:eastAsia="Times New Roman" w:cstheme="minorHAnsi"/>
          <w:bCs/>
          <w:i/>
          <w:iCs/>
          <w:lang w:eastAsia="it-IT"/>
        </w:rPr>
        <w:t xml:space="preserve"> 5.3.6,</w:t>
      </w:r>
    </w:p>
    <w:p w14:paraId="6E458F02"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dall’applicazione di nuove o maggiori aliquote fiscali e dalla maggiorazione di oneri concessori e sanzioni, formalmente deliberate,</w:t>
      </w:r>
    </w:p>
    <w:p w14:paraId="7D8C3330"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0694B532" w14:textId="77777777" w:rsidR="0050356C" w:rsidRPr="003B5E60" w:rsidRDefault="0050356C" w:rsidP="0050356C">
      <w:pPr>
        <w:spacing w:after="0" w:line="240" w:lineRule="auto"/>
        <w:contextualSpacing/>
        <w:rPr>
          <w:rFonts w:eastAsia="Times New Roman" w:cstheme="minorHAnsi"/>
          <w:bCs/>
          <w:i/>
          <w:iCs/>
          <w:lang w:eastAsia="it-IT"/>
        </w:rPr>
      </w:pPr>
    </w:p>
    <w:p w14:paraId="11F80347"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72A27289"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5D10F75D"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6EEEA5E4"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riporta l’elenco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45F0660" w14:textId="77777777" w:rsidR="0050356C" w:rsidRPr="003B5E60" w:rsidRDefault="0050356C" w:rsidP="0050356C">
      <w:pPr>
        <w:spacing w:after="0" w:line="240" w:lineRule="auto"/>
        <w:contextualSpacing/>
        <w:rPr>
          <w:rFonts w:eastAsia="Times New Roman" w:cstheme="minorHAnsi"/>
          <w:bCs/>
          <w:i/>
          <w:iCs/>
          <w:lang w:eastAsia="it-IT"/>
        </w:rPr>
      </w:pPr>
    </w:p>
    <w:p w14:paraId="5C84761A"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 xml:space="preserve">In occasione dell’attestazione di copertura finanziaria, la consueta verifica concernente la </w:t>
      </w:r>
    </w:p>
    <w:p w14:paraId="60B3AC7E"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capienza degli stanziamenti, sia riferiti all’esercizio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67ED50F0" w14:textId="77777777" w:rsidR="0050356C" w:rsidRPr="003B5E60" w:rsidRDefault="0050356C" w:rsidP="0050356C">
      <w:pPr>
        <w:autoSpaceDE w:val="0"/>
        <w:autoSpaceDN w:val="0"/>
        <w:adjustRightInd w:val="0"/>
        <w:spacing w:after="0" w:line="240" w:lineRule="auto"/>
        <w:ind w:right="-2"/>
        <w:contextualSpacing/>
        <w:rPr>
          <w:rFonts w:eastAsia="Times New Roman" w:cstheme="minorHAnsi"/>
          <w:bCs/>
          <w:i/>
          <w:iCs/>
          <w:lang w:eastAsia="zh-TW"/>
        </w:rPr>
      </w:pPr>
    </w:p>
    <w:p w14:paraId="1646E7FF" w14:textId="77777777" w:rsidR="0050356C" w:rsidRPr="003B5E60" w:rsidRDefault="0050356C" w:rsidP="0050356C">
      <w:pPr>
        <w:autoSpaceDE w:val="0"/>
        <w:autoSpaceDN w:val="0"/>
        <w:adjustRightInd w:val="0"/>
        <w:spacing w:after="0" w:line="240" w:lineRule="auto"/>
        <w:ind w:right="-284"/>
        <w:contextualSpacing/>
        <w:rPr>
          <w:rFonts w:cstheme="minorHAnsi"/>
        </w:rPr>
      </w:pPr>
      <w:r w:rsidRPr="003B5E60">
        <w:rPr>
          <w:rFonts w:eastAsia="Times New Roman" w:cstheme="minorHAnsi"/>
          <w:bCs/>
          <w:i/>
          <w:iCs/>
          <w:lang w:eastAsia="zh-TW"/>
        </w:rPr>
        <w:t>In occasione di variazioni di bilancio che modificano la previsione del margine corrente è possibile variare anche la sezione della nota integrativa che elenca gli investimenti finanziati con la previsione del margine corrente, al fine di consentire le attestazioni di copertura finanziaria di provvedimenti che comportano impegni per investimenti.</w:t>
      </w:r>
    </w:p>
    <w:p w14:paraId="6EF740DD" w14:textId="77777777" w:rsid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7DAFF14D"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Pr>
          <w:b/>
        </w:rPr>
        <w:t xml:space="preserve">§ </w:t>
      </w:r>
      <w:r w:rsidR="00112A54">
        <w:rPr>
          <w:b/>
        </w:rPr>
        <w:t>9.11.7</w:t>
      </w:r>
      <w:r w:rsidR="00112A54">
        <w:t xml:space="preserve"> </w:t>
      </w:r>
      <w:r w:rsidRPr="00277696">
        <w:rPr>
          <w:rFonts w:eastAsia="Times New Roman" w:cstheme="minorHAnsi"/>
          <w:bCs/>
          <w:i/>
          <w:iCs/>
          <w:lang w:eastAsia="it-IT"/>
        </w:rPr>
        <w:t>Gli enti che in sede di approvazione del bilancio presentano un disavanzo di amministrazione presunto descrivono nella Nota illustrativa le cause che hanno determinato tale risultato e gli interventi che si intende assumere al riguardo.</w:t>
      </w:r>
    </w:p>
    <w:p w14:paraId="61C91B5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7B2BE3D9"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Nella Nota illustrativa possono essere individuati i maggiori accertamenti e/o i minori impegni che si prevede di registrare nel corso di ciascun esercizio in attuazione degli eventuali piani di rientro adottati. Tale indicazione consente annualmente di verificare il ripiano del disavanzo effettuato e di individuare l’eventuale ulteriore disavanzo che potrebbe formarsi nel corso di ciascun esercizio.</w:t>
      </w:r>
    </w:p>
    <w:p w14:paraId="5DD101F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644CCE0"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874820C"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Gli enti che erano già in disavanzo al 31 dicembre dell’esercizio precedente illustrano altresì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78ADC393"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D34C79A"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2CDA39A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4AE3C72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1F5B7E61"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particolare riferimento al disavanzo derivante dal riaccertamento straordinario dei residui l’articolo 4, comma 6, decreto del Ministero dell’economia e delle finanze, di concerto con il Ministero dell’interno, del 2 aprile 2015, concernente i criteri e le modalità di ripiano dell’eventuale maggiore disavanzo al 1° gennaio 2015, prevede "La nota integrativa al bilancio di previsione indica le modalità di copertura dell’eventuale disavanzo applicato al bilancio distintamente per la quota derivante dal riaccertamento straordinario rispetto a quella derivante dalla gestione ordinaria. La nota integrativa indica altresì le modalità di copertura contabile dell’eventuale disavanzo tecnico di cui all’articolo 3, comma 13, del decreto legislativo n. 118 del 2011."</w:t>
      </w:r>
    </w:p>
    <w:p w14:paraId="140C21F6"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0FF5D1A" w14:textId="307FA23A" w:rsid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Pertanto, la nota integrativa descrive la composizione del risultato di amministrazione presunto individuato nell’allegato a) al bilancio di previsione (lettera E), se negativo e, per ciascuna componente del disavanzo, indica le modalità di ripiano definite in attuazione delle rispettive discipline e l’importo da ripianare per ciascuno degli esercizi considerati nel bilancio di previsione.</w:t>
      </w:r>
    </w:p>
    <w:p w14:paraId="4CABE5BA" w14:textId="77777777" w:rsidR="00277696" w:rsidRDefault="00277696" w:rsidP="00277696">
      <w:pPr>
        <w:tabs>
          <w:tab w:val="left" w:pos="993"/>
        </w:tabs>
        <w:spacing w:after="0" w:line="240" w:lineRule="auto"/>
        <w:contextualSpacing/>
        <w:rPr>
          <w:rFonts w:eastAsia="Times New Roman" w:cstheme="minorHAnsi"/>
          <w:bCs/>
          <w:i/>
          <w:iCs/>
          <w:lang w:eastAsia="it-IT"/>
        </w:rPr>
      </w:pPr>
    </w:p>
    <w:p w14:paraId="7C6DD868" w14:textId="002E774E" w:rsidR="00277696" w:rsidRP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riferimento agli enti locali, si richiama l’ultimo periodo dell’articolo 188, comma 1, del TUEL, il quale prevede che l'eventuale ulteriore disavanzo formatosi nel corso del periodo considerato nel piano di rientro deve essere coperto non oltre la scadenza del piano di rientro in corso.</w:t>
      </w:r>
    </w:p>
    <w:sectPr w:rsidR="00277696" w:rsidRPr="00112A54" w:rsidSect="00D11DF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01561" w14:textId="77777777" w:rsidR="00930D1E" w:rsidRDefault="00930D1E" w:rsidP="00281EF7">
      <w:pPr>
        <w:spacing w:after="0" w:line="240" w:lineRule="auto"/>
      </w:pPr>
      <w:r>
        <w:separator/>
      </w:r>
    </w:p>
  </w:endnote>
  <w:endnote w:type="continuationSeparator" w:id="0">
    <w:p w14:paraId="755CE4AD" w14:textId="77777777" w:rsidR="00930D1E" w:rsidRDefault="00930D1E"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D1545" w14:textId="77777777" w:rsidR="00930D1E" w:rsidRDefault="00930D1E" w:rsidP="00281EF7">
      <w:pPr>
        <w:spacing w:after="0" w:line="240" w:lineRule="auto"/>
      </w:pPr>
      <w:r>
        <w:separator/>
      </w:r>
    </w:p>
  </w:footnote>
  <w:footnote w:type="continuationSeparator" w:id="0">
    <w:p w14:paraId="7AC21623" w14:textId="77777777" w:rsidR="00930D1E" w:rsidRDefault="00930D1E" w:rsidP="00281EF7">
      <w:pPr>
        <w:spacing w:after="0" w:line="240" w:lineRule="auto"/>
      </w:pPr>
      <w:r>
        <w:continuationSeparator/>
      </w:r>
    </w:p>
  </w:footnote>
  <w:footnote w:id="1">
    <w:p w14:paraId="393EEF30" w14:textId="77777777" w:rsidR="0050356C" w:rsidRDefault="0050356C" w:rsidP="0050356C">
      <w:pPr>
        <w:pStyle w:val="Testonotaapidipagina"/>
      </w:pPr>
      <w:r>
        <w:rPr>
          <w:rStyle w:val="Rimandonotaapidipagina"/>
        </w:rPr>
        <w:footnoteRef/>
      </w:r>
      <w:r>
        <w:t xml:space="preserve"> Indicare il numero effettivo di giorni in caso di estinzione in corso di anno.</w:t>
      </w:r>
    </w:p>
  </w:footnote>
  <w:footnote w:id="2">
    <w:p w14:paraId="3E6ADE34" w14:textId="77777777" w:rsidR="0050356C" w:rsidRDefault="0050356C" w:rsidP="0050356C">
      <w:pPr>
        <w:pStyle w:val="Testonotaapidipagina"/>
      </w:pPr>
      <w:r>
        <w:rPr>
          <w:rStyle w:val="Rimandonotaapidipagina"/>
        </w:rPr>
        <w:footnoteRef/>
      </w:r>
      <w:r>
        <w:t xml:space="preserve"> La seconda e terza componente è eventuale. </w:t>
      </w:r>
    </w:p>
    <w:p w14:paraId="24DB3B99" w14:textId="77777777" w:rsidR="0050356C" w:rsidRDefault="0050356C" w:rsidP="0050356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329F5968"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853641">
      <w:rPr>
        <w:b/>
        <w:bCs/>
        <w:color w:val="595959" w:themeColor="text1" w:themeTint="A6"/>
        <w:sz w:val="18"/>
        <w:szCs w:val="16"/>
      </w:rPr>
      <w:t>6</w:t>
    </w:r>
    <w:r>
      <w:rPr>
        <w:b/>
        <w:bCs/>
        <w:color w:val="595959" w:themeColor="text1" w:themeTint="A6"/>
        <w:sz w:val="18"/>
        <w:szCs w:val="16"/>
      </w:rPr>
      <w:t>-202</w:t>
    </w:r>
    <w:r w:rsidR="00853641">
      <w:rPr>
        <w:b/>
        <w:bCs/>
        <w:color w:val="595959" w:themeColor="text1" w:themeTint="A6"/>
        <w:sz w:val="18"/>
        <w:szCs w:val="16"/>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1"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2"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9"/>
  </w:num>
  <w:num w:numId="2" w16cid:durableId="1302151230">
    <w:abstractNumId w:val="22"/>
  </w:num>
  <w:num w:numId="3" w16cid:durableId="1059481697">
    <w:abstractNumId w:val="6"/>
  </w:num>
  <w:num w:numId="4" w16cid:durableId="303854143">
    <w:abstractNumId w:val="21"/>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2"/>
  </w:num>
  <w:num w:numId="9" w16cid:durableId="961032132">
    <w:abstractNumId w:val="22"/>
  </w:num>
  <w:num w:numId="10" w16cid:durableId="609044111">
    <w:abstractNumId w:val="22"/>
  </w:num>
  <w:num w:numId="11" w16cid:durableId="1526599444">
    <w:abstractNumId w:val="22"/>
  </w:num>
  <w:num w:numId="12" w16cid:durableId="1842431505">
    <w:abstractNumId w:val="22"/>
  </w:num>
  <w:num w:numId="13" w16cid:durableId="1726373615">
    <w:abstractNumId w:val="22"/>
  </w:num>
  <w:num w:numId="14" w16cid:durableId="1061055822">
    <w:abstractNumId w:val="22"/>
  </w:num>
  <w:num w:numId="15" w16cid:durableId="1343706755">
    <w:abstractNumId w:val="22"/>
    <w:lvlOverride w:ilvl="0">
      <w:startOverride w:val="1"/>
    </w:lvlOverride>
  </w:num>
  <w:num w:numId="16" w16cid:durableId="1287547342">
    <w:abstractNumId w:val="32"/>
  </w:num>
  <w:num w:numId="17" w16cid:durableId="174854079">
    <w:abstractNumId w:val="16"/>
  </w:num>
  <w:num w:numId="18" w16cid:durableId="1123353355">
    <w:abstractNumId w:val="36"/>
  </w:num>
  <w:num w:numId="19" w16cid:durableId="1668245931">
    <w:abstractNumId w:val="4"/>
  </w:num>
  <w:num w:numId="20" w16cid:durableId="1266504275">
    <w:abstractNumId w:val="9"/>
  </w:num>
  <w:num w:numId="21" w16cid:durableId="961882934">
    <w:abstractNumId w:val="13"/>
  </w:num>
  <w:num w:numId="22" w16cid:durableId="1942177666">
    <w:abstractNumId w:val="14"/>
  </w:num>
  <w:num w:numId="23" w16cid:durableId="2143843538">
    <w:abstractNumId w:val="37"/>
  </w:num>
  <w:num w:numId="24" w16cid:durableId="607003594">
    <w:abstractNumId w:val="24"/>
  </w:num>
  <w:num w:numId="25" w16cid:durableId="859049401">
    <w:abstractNumId w:val="23"/>
  </w:num>
  <w:num w:numId="26" w16cid:durableId="809514223">
    <w:abstractNumId w:val="27"/>
  </w:num>
  <w:num w:numId="27" w16cid:durableId="1940722226">
    <w:abstractNumId w:val="30"/>
  </w:num>
  <w:num w:numId="28" w16cid:durableId="727849844">
    <w:abstractNumId w:val="33"/>
  </w:num>
  <w:num w:numId="29" w16cid:durableId="1481651618">
    <w:abstractNumId w:val="29"/>
  </w:num>
  <w:num w:numId="30" w16cid:durableId="1171991756">
    <w:abstractNumId w:val="0"/>
  </w:num>
  <w:num w:numId="31" w16cid:durableId="307520640">
    <w:abstractNumId w:val="7"/>
  </w:num>
  <w:num w:numId="32" w16cid:durableId="277562540">
    <w:abstractNumId w:val="31"/>
  </w:num>
  <w:num w:numId="33" w16cid:durableId="1053577203">
    <w:abstractNumId w:val="28"/>
  </w:num>
  <w:num w:numId="34" w16cid:durableId="1430272190">
    <w:abstractNumId w:val="3"/>
  </w:num>
  <w:num w:numId="35" w16cid:durableId="9374208">
    <w:abstractNumId w:val="8"/>
  </w:num>
  <w:num w:numId="36" w16cid:durableId="1714965736">
    <w:abstractNumId w:val="20"/>
  </w:num>
  <w:num w:numId="37" w16cid:durableId="507719107">
    <w:abstractNumId w:val="18"/>
  </w:num>
  <w:num w:numId="38" w16cid:durableId="1294555809">
    <w:abstractNumId w:val="26"/>
  </w:num>
  <w:num w:numId="39" w16cid:durableId="1653018691">
    <w:abstractNumId w:val="17"/>
  </w:num>
  <w:num w:numId="40" w16cid:durableId="130488456">
    <w:abstractNumId w:val="25"/>
  </w:num>
  <w:num w:numId="41" w16cid:durableId="321158206">
    <w:abstractNumId w:val="34"/>
  </w:num>
  <w:num w:numId="42" w16cid:durableId="588084478">
    <w:abstractNumId w:val="11"/>
  </w:num>
  <w:num w:numId="43" w16cid:durableId="1965966046">
    <w:abstractNumId w:val="10"/>
  </w:num>
  <w:num w:numId="44" w16cid:durableId="93404809">
    <w:abstractNumId w:val="2"/>
  </w:num>
  <w:num w:numId="45" w16cid:durableId="1401901441">
    <w:abstractNumId w:val="35"/>
  </w:num>
  <w:num w:numId="46" w16cid:durableId="209804931">
    <w:abstractNumId w:val="15"/>
  </w:num>
  <w:num w:numId="47" w16cid:durableId="13502538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451F"/>
    <w:rsid w:val="00016D66"/>
    <w:rsid w:val="000333BE"/>
    <w:rsid w:val="0003493F"/>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507E0"/>
    <w:rsid w:val="00277696"/>
    <w:rsid w:val="002803F7"/>
    <w:rsid w:val="00281EF7"/>
    <w:rsid w:val="00284F58"/>
    <w:rsid w:val="002866F1"/>
    <w:rsid w:val="002A4ED2"/>
    <w:rsid w:val="002C24C0"/>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D3793"/>
    <w:rsid w:val="003D3F77"/>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52B8B"/>
    <w:rsid w:val="005601B4"/>
    <w:rsid w:val="00562550"/>
    <w:rsid w:val="00562F69"/>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7721B"/>
    <w:rsid w:val="007927BE"/>
    <w:rsid w:val="007B73B6"/>
    <w:rsid w:val="007C7D94"/>
    <w:rsid w:val="007F0FC6"/>
    <w:rsid w:val="00803C96"/>
    <w:rsid w:val="008322DC"/>
    <w:rsid w:val="00832D7E"/>
    <w:rsid w:val="0085264D"/>
    <w:rsid w:val="008532B5"/>
    <w:rsid w:val="00853641"/>
    <w:rsid w:val="00856A66"/>
    <w:rsid w:val="008578F5"/>
    <w:rsid w:val="00860593"/>
    <w:rsid w:val="00864DBE"/>
    <w:rsid w:val="00867B04"/>
    <w:rsid w:val="00875C18"/>
    <w:rsid w:val="00886830"/>
    <w:rsid w:val="00893965"/>
    <w:rsid w:val="008A2664"/>
    <w:rsid w:val="008A2E4B"/>
    <w:rsid w:val="008B604E"/>
    <w:rsid w:val="008C6A4D"/>
    <w:rsid w:val="008D54E5"/>
    <w:rsid w:val="008D5BD6"/>
    <w:rsid w:val="008F5F15"/>
    <w:rsid w:val="00917E35"/>
    <w:rsid w:val="00930D1E"/>
    <w:rsid w:val="00944B2E"/>
    <w:rsid w:val="009731D1"/>
    <w:rsid w:val="00986212"/>
    <w:rsid w:val="00992BE0"/>
    <w:rsid w:val="009B3FDC"/>
    <w:rsid w:val="009D4EA8"/>
    <w:rsid w:val="009D79C2"/>
    <w:rsid w:val="009E4F49"/>
    <w:rsid w:val="009F77EC"/>
    <w:rsid w:val="00A44FFB"/>
    <w:rsid w:val="00A568D7"/>
    <w:rsid w:val="00A84B00"/>
    <w:rsid w:val="00AA7328"/>
    <w:rsid w:val="00AB2A26"/>
    <w:rsid w:val="00AB4558"/>
    <w:rsid w:val="00AB5522"/>
    <w:rsid w:val="00AC1A66"/>
    <w:rsid w:val="00AC6416"/>
    <w:rsid w:val="00AD3BE6"/>
    <w:rsid w:val="00AF78D2"/>
    <w:rsid w:val="00B21DF2"/>
    <w:rsid w:val="00B254CC"/>
    <w:rsid w:val="00B45CF2"/>
    <w:rsid w:val="00B46CE3"/>
    <w:rsid w:val="00B63E9E"/>
    <w:rsid w:val="00B64B05"/>
    <w:rsid w:val="00B853FC"/>
    <w:rsid w:val="00B93958"/>
    <w:rsid w:val="00B940B4"/>
    <w:rsid w:val="00B95911"/>
    <w:rsid w:val="00B96B24"/>
    <w:rsid w:val="00B97E58"/>
    <w:rsid w:val="00BB0106"/>
    <w:rsid w:val="00BC749A"/>
    <w:rsid w:val="00BE4104"/>
    <w:rsid w:val="00BE587A"/>
    <w:rsid w:val="00BF700C"/>
    <w:rsid w:val="00C0415B"/>
    <w:rsid w:val="00C31807"/>
    <w:rsid w:val="00C41127"/>
    <w:rsid w:val="00C466DF"/>
    <w:rsid w:val="00C623FE"/>
    <w:rsid w:val="00C65E80"/>
    <w:rsid w:val="00C816DC"/>
    <w:rsid w:val="00C94FEE"/>
    <w:rsid w:val="00CC1C60"/>
    <w:rsid w:val="00CC2680"/>
    <w:rsid w:val="00CC68BF"/>
    <w:rsid w:val="00CE2490"/>
    <w:rsid w:val="00CF20D8"/>
    <w:rsid w:val="00D02BFF"/>
    <w:rsid w:val="00D051C1"/>
    <w:rsid w:val="00D11DF1"/>
    <w:rsid w:val="00D35E32"/>
    <w:rsid w:val="00D4180A"/>
    <w:rsid w:val="00D46A46"/>
    <w:rsid w:val="00D47E57"/>
    <w:rsid w:val="00D60A93"/>
    <w:rsid w:val="00D61643"/>
    <w:rsid w:val="00D95A30"/>
    <w:rsid w:val="00DA24B6"/>
    <w:rsid w:val="00E00C42"/>
    <w:rsid w:val="00E11276"/>
    <w:rsid w:val="00E3506C"/>
    <w:rsid w:val="00E50C5F"/>
    <w:rsid w:val="00E72DF2"/>
    <w:rsid w:val="00E7792A"/>
    <w:rsid w:val="00E83712"/>
    <w:rsid w:val="00EA194B"/>
    <w:rsid w:val="00EA572C"/>
    <w:rsid w:val="00EB1460"/>
    <w:rsid w:val="00ED10DA"/>
    <w:rsid w:val="00ED3480"/>
    <w:rsid w:val="00ED596C"/>
    <w:rsid w:val="00EE3C78"/>
    <w:rsid w:val="00EF1A02"/>
    <w:rsid w:val="00F07201"/>
    <w:rsid w:val="00F10A2D"/>
    <w:rsid w:val="00F12EE0"/>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2500</Words>
  <Characters>14255</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47</cp:revision>
  <cp:lastPrinted>2023-04-19T15:40:00Z</cp:lastPrinted>
  <dcterms:created xsi:type="dcterms:W3CDTF">2023-07-28T06:55:00Z</dcterms:created>
  <dcterms:modified xsi:type="dcterms:W3CDTF">2026-01-20T12:51:00Z</dcterms:modified>
</cp:coreProperties>
</file>